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2E" w:rsidRPr="00C66CB2" w:rsidRDefault="0094562E" w:rsidP="00C66CB2">
      <w:pPr>
        <w:jc w:val="center"/>
        <w:rPr>
          <w:b/>
          <w:bCs/>
          <w:sz w:val="24"/>
          <w:szCs w:val="24"/>
          <w:lang w:val="en-US"/>
        </w:rPr>
      </w:pPr>
      <w:r w:rsidRPr="00C66CB2">
        <w:rPr>
          <w:b/>
          <w:bCs/>
          <w:sz w:val="24"/>
          <w:szCs w:val="24"/>
          <w:lang w:val="en-US"/>
        </w:rPr>
        <w:t xml:space="preserve">Corporate action statement </w:t>
      </w:r>
    </w:p>
    <w:p w:rsidR="0094562E" w:rsidRPr="00C66CB2" w:rsidRDefault="0094562E" w:rsidP="00C66CB2">
      <w:pPr>
        <w:jc w:val="center"/>
        <w:rPr>
          <w:b/>
          <w:bCs/>
          <w:sz w:val="24"/>
          <w:szCs w:val="24"/>
          <w:lang w:val="en-US"/>
        </w:rPr>
      </w:pPr>
      <w:r w:rsidRPr="00C66CB2">
        <w:rPr>
          <w:b/>
          <w:bCs/>
          <w:sz w:val="24"/>
          <w:szCs w:val="24"/>
          <w:lang w:val="en-US"/>
        </w:rPr>
        <w:t>“</w:t>
      </w:r>
      <w:proofErr w:type="gramStart"/>
      <w:r w:rsidRPr="00C66CB2">
        <w:rPr>
          <w:b/>
          <w:bCs/>
          <w:sz w:val="24"/>
          <w:szCs w:val="24"/>
          <w:lang w:val="en-US"/>
        </w:rPr>
        <w:t>on</w:t>
      </w:r>
      <w:proofErr w:type="gramEnd"/>
      <w:r w:rsidRPr="00C66CB2">
        <w:rPr>
          <w:b/>
          <w:bCs/>
          <w:sz w:val="24"/>
          <w:szCs w:val="24"/>
          <w:lang w:val="en-US"/>
        </w:rPr>
        <w:t xml:space="preserve"> the accrued and (or) revenue from securities of the issuer”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prilozhenie"/>
              <w:ind w:firstLine="0"/>
              <w:jc w:val="center"/>
            </w:pPr>
            <w:r w:rsidRPr="00C66CB2">
              <w:rPr>
                <w:lang w:val="en-US"/>
              </w:rPr>
              <w:t>General data</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 xml:space="preserve">1.1  </w:t>
            </w:r>
            <w:r w:rsidRPr="00C66CB2">
              <w:rPr>
                <w:sz w:val="24"/>
                <w:szCs w:val="24"/>
                <w:lang w:val="en-US"/>
              </w:rPr>
              <w:t>Issuer</w:t>
            </w:r>
            <w:r w:rsidRPr="00C66CB2">
              <w:rPr>
                <w:sz w:val="24"/>
                <w:szCs w:val="24"/>
              </w:rPr>
              <w:t>’</w:t>
            </w:r>
            <w:r w:rsidRPr="00C66CB2">
              <w:rPr>
                <w:sz w:val="24"/>
                <w:szCs w:val="24"/>
                <w:lang w:val="en-US"/>
              </w:rPr>
              <w:t>s full name</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lang w:val="en-US"/>
              </w:rPr>
              <w:t>Public joint-stock company of Power Industry and Electrification of Kuban</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 xml:space="preserve">1.2. </w:t>
            </w:r>
            <w:r w:rsidRPr="00C66CB2">
              <w:rPr>
                <w:sz w:val="24"/>
                <w:szCs w:val="24"/>
                <w:lang w:val="en-US"/>
              </w:rPr>
              <w:t>Issuer</w:t>
            </w:r>
            <w:r w:rsidRPr="00C66CB2">
              <w:rPr>
                <w:sz w:val="24"/>
                <w:szCs w:val="24"/>
              </w:rPr>
              <w:t>’</w:t>
            </w:r>
            <w:r w:rsidRPr="00C66CB2">
              <w:rPr>
                <w:sz w:val="24"/>
                <w:szCs w:val="24"/>
                <w:lang w:val="en-US"/>
              </w:rPr>
              <w:t>s short name</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lang w:val="en-US"/>
              </w:rPr>
              <w:t>“Kubanenergo”, PJSC</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1.3. </w:t>
            </w:r>
            <w:r w:rsidRPr="00C66CB2">
              <w:rPr>
                <w:sz w:val="24"/>
                <w:szCs w:val="24"/>
                <w:lang w:val="en-US"/>
              </w:rPr>
              <w:t>Issuer’s location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ind w:right="140"/>
              <w:jc w:val="both"/>
              <w:rPr>
                <w:sz w:val="24"/>
                <w:szCs w:val="24"/>
                <w:lang w:val="en-US" w:eastAsia="en-US"/>
              </w:rPr>
            </w:pPr>
            <w:r w:rsidRPr="00C66CB2">
              <w:rPr>
                <w:sz w:val="24"/>
                <w:szCs w:val="24"/>
                <w:lang w:val="en-US" w:eastAsia="en-US"/>
              </w:rPr>
              <w:t>Krasnodar, Russian federation, 350033</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1.4. </w:t>
            </w:r>
            <w:r w:rsidRPr="00C66CB2">
              <w:rPr>
                <w:sz w:val="24"/>
                <w:szCs w:val="24"/>
                <w:lang w:val="en-US"/>
              </w:rPr>
              <w:t>Issuer’s PSRN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1022301427268</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 xml:space="preserve">1.5. </w:t>
            </w:r>
            <w:r w:rsidRPr="00C66CB2">
              <w:rPr>
                <w:sz w:val="24"/>
                <w:szCs w:val="24"/>
                <w:lang w:val="en-US"/>
              </w:rPr>
              <w:t>Issuer’s TIN</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rPr>
            </w:pPr>
            <w:r w:rsidRPr="00C66CB2">
              <w:rPr>
                <w:sz w:val="24"/>
                <w:szCs w:val="24"/>
              </w:rPr>
              <w:t>2309001660</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lang w:val="en-US"/>
              </w:rPr>
              <w:t>1.6. Issuer’s unique code given by registering authority</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right="140"/>
              <w:jc w:val="both"/>
              <w:rPr>
                <w:sz w:val="24"/>
                <w:szCs w:val="24"/>
                <w:lang w:val="en-US"/>
              </w:rPr>
            </w:pPr>
            <w:r w:rsidRPr="00C66CB2">
              <w:rPr>
                <w:sz w:val="24"/>
                <w:szCs w:val="24"/>
              </w:rPr>
              <w:t>00063-</w:t>
            </w:r>
            <w:r w:rsidRPr="00C66CB2">
              <w:rPr>
                <w:sz w:val="24"/>
                <w:szCs w:val="24"/>
                <w:lang w:val="en-US"/>
              </w:rPr>
              <w:t>A</w:t>
            </w:r>
          </w:p>
        </w:tc>
      </w:tr>
      <w:tr w:rsidR="0094562E" w:rsidRPr="00C66CB2" w:rsidTr="0094562E">
        <w:tc>
          <w:tcPr>
            <w:tcW w:w="4679"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ind w:left="57" w:right="57"/>
              <w:rPr>
                <w:sz w:val="24"/>
                <w:szCs w:val="24"/>
                <w:lang w:val="en-US"/>
              </w:rPr>
            </w:pPr>
            <w:r w:rsidRPr="00C66CB2">
              <w:rPr>
                <w:sz w:val="24"/>
                <w:szCs w:val="24"/>
                <w:lang w:val="en-US"/>
              </w:rPr>
              <w:t xml:space="preserve">1.7. Internet webpages used by the issuer for disclosure of information </w:t>
            </w:r>
          </w:p>
        </w:tc>
        <w:tc>
          <w:tcPr>
            <w:tcW w:w="5386" w:type="dxa"/>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adjustRightInd w:val="0"/>
              <w:rPr>
                <w:sz w:val="24"/>
                <w:szCs w:val="24"/>
                <w:lang w:val="en-US"/>
              </w:rPr>
            </w:pPr>
            <w:hyperlink r:id="rId5" w:history="1">
              <w:r w:rsidRPr="00C66CB2">
                <w:rPr>
                  <w:rStyle w:val="a3"/>
                  <w:color w:val="000000"/>
                  <w:sz w:val="24"/>
                  <w:szCs w:val="24"/>
                  <w:lang w:val="en-US"/>
                  <w14:textFill>
                    <w14:solidFill>
                      <w14:srgbClr w14:val="000000"/>
                    </w14:solidFill>
                  </w14:textFill>
                </w:rPr>
                <w:t>http://www.kubanenergo.ru</w:t>
              </w:r>
            </w:hyperlink>
            <w:r w:rsidRPr="00C66CB2">
              <w:rPr>
                <w:sz w:val="24"/>
                <w:szCs w:val="24"/>
                <w:lang w:val="en-US"/>
              </w:rPr>
              <w:t xml:space="preserve">  </w:t>
            </w:r>
            <w:r w:rsidRPr="00C66CB2">
              <w:rPr>
                <w:sz w:val="24"/>
                <w:szCs w:val="24"/>
                <w:lang w:val="en-US"/>
              </w:rPr>
              <w:br/>
            </w:r>
            <w:hyperlink r:id="rId6" w:history="1">
              <w:r w:rsidRPr="00C66CB2">
                <w:rPr>
                  <w:rStyle w:val="a3"/>
                  <w:color w:val="000000"/>
                  <w:sz w:val="24"/>
                  <w:szCs w:val="24"/>
                  <w:lang w:val="en-US"/>
                  <w14:textFill>
                    <w14:solidFill>
                      <w14:srgbClr w14:val="000000"/>
                    </w14:solidFill>
                  </w14:textFill>
                </w:rPr>
                <w:t>http://www.e-disclosure.ru/portal/company.aspx?id=2827</w:t>
              </w:r>
            </w:hyperlink>
            <w:r w:rsidRPr="00C66CB2">
              <w:rPr>
                <w:sz w:val="24"/>
                <w:szCs w:val="24"/>
                <w:lang w:val="en-US"/>
              </w:rPr>
              <w:t xml:space="preserve">  </w:t>
            </w:r>
          </w:p>
        </w:tc>
      </w:tr>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prilozhenie"/>
              <w:ind w:firstLine="0"/>
              <w:jc w:val="center"/>
              <w:rPr>
                <w:lang w:val="en-US"/>
              </w:rPr>
            </w:pPr>
            <w:r w:rsidRPr="00C66CB2">
              <w:t xml:space="preserve">2. </w:t>
            </w:r>
            <w:r w:rsidRPr="00C66CB2">
              <w:rPr>
                <w:lang w:val="en-US"/>
              </w:rPr>
              <w:t xml:space="preserve">The statement content </w:t>
            </w:r>
          </w:p>
        </w:tc>
      </w:tr>
      <w:tr w:rsidR="0094562E" w:rsidRPr="00C66CB2" w:rsidTr="0094562E">
        <w:trPr>
          <w:trHeight w:val="132"/>
        </w:trPr>
        <w:tc>
          <w:tcPr>
            <w:tcW w:w="1006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4562E" w:rsidRPr="00C66CB2" w:rsidRDefault="0094562E" w:rsidP="00C66CB2">
            <w:pPr>
              <w:adjustRightInd w:val="0"/>
              <w:jc w:val="both"/>
              <w:rPr>
                <w:b/>
                <w:sz w:val="24"/>
                <w:szCs w:val="24"/>
                <w:lang w:val="en-US"/>
              </w:rPr>
            </w:pPr>
            <w:r w:rsidRPr="00C66CB2">
              <w:rPr>
                <w:sz w:val="24"/>
                <w:szCs w:val="24"/>
                <w:lang w:val="en-US"/>
              </w:rPr>
              <w:t xml:space="preserve">2.1. </w:t>
            </w:r>
            <w:r w:rsidRPr="00C66CB2">
              <w:rPr>
                <w:color w:val="000000"/>
                <w:sz w:val="24"/>
                <w:szCs w:val="24"/>
                <w:lang w:val="en-US"/>
              </w:rPr>
              <w:t xml:space="preserve">Kind, category (type) and other identification features of the securities of the issuer included in the quotation list of the Russian stock exchange (the list of the securities admitted to trading by the Russian organizer of trading in the securities market): </w:t>
            </w:r>
            <w:r w:rsidRPr="00C66CB2">
              <w:rPr>
                <w:b/>
                <w:sz w:val="24"/>
                <w:szCs w:val="24"/>
                <w:lang w:val="en-US"/>
              </w:rPr>
              <w:t>exchange-traded inconvertible interest-bearing certificated bearer bonds, 001</w:t>
            </w:r>
            <w:r w:rsidRPr="00C66CB2">
              <w:rPr>
                <w:b/>
                <w:sz w:val="24"/>
                <w:szCs w:val="24"/>
              </w:rPr>
              <w:t>Р</w:t>
            </w:r>
            <w:r w:rsidRPr="00C66CB2">
              <w:rPr>
                <w:b/>
                <w:sz w:val="24"/>
                <w:szCs w:val="24"/>
                <w:lang w:val="en-US"/>
              </w:rPr>
              <w:t>-01 (identification number of the issue</w:t>
            </w:r>
            <w:r w:rsidRPr="00C66CB2">
              <w:rPr>
                <w:sz w:val="24"/>
                <w:szCs w:val="24"/>
                <w:lang w:val="en-US"/>
              </w:rPr>
              <w:t xml:space="preserve"> </w:t>
            </w:r>
            <w:r w:rsidRPr="00C66CB2">
              <w:rPr>
                <w:b/>
                <w:sz w:val="24"/>
                <w:szCs w:val="24"/>
                <w:lang w:val="en-US"/>
              </w:rPr>
              <w:t>4B02-01-00063-A-001P dated 10 November 2015) subject to mandatory centralized custody, offered by public subscription within the frameworks of the Programme exchange</w:t>
            </w:r>
            <w:r w:rsidRPr="00C66CB2">
              <w:rPr>
                <w:b/>
                <w:bCs/>
                <w:iCs/>
                <w:sz w:val="24"/>
                <w:szCs w:val="24"/>
                <w:lang w:val="en-US"/>
              </w:rPr>
              <w:t>-traded bonds</w:t>
            </w:r>
            <w:r w:rsidRPr="00C66CB2">
              <w:rPr>
                <w:b/>
                <w:sz w:val="24"/>
                <w:szCs w:val="24"/>
                <w:lang w:val="en-US"/>
              </w:rPr>
              <w:t>, identification number 4-00063-</w:t>
            </w:r>
            <w:r w:rsidRPr="00C66CB2">
              <w:rPr>
                <w:b/>
                <w:sz w:val="24"/>
                <w:szCs w:val="24"/>
              </w:rPr>
              <w:t>А</w:t>
            </w:r>
            <w:r w:rsidRPr="00C66CB2">
              <w:rPr>
                <w:b/>
                <w:sz w:val="24"/>
                <w:szCs w:val="24"/>
                <w:lang w:val="en-US"/>
              </w:rPr>
              <w:t>-001P-02E dated 26 August 2015, assigned by MICEX.</w:t>
            </w:r>
          </w:p>
          <w:p w:rsidR="008F1E4D" w:rsidRPr="00C66CB2" w:rsidRDefault="008F1E4D" w:rsidP="00C66CB2">
            <w:pPr>
              <w:adjustRightInd w:val="0"/>
              <w:jc w:val="both"/>
              <w:rPr>
                <w:b/>
                <w:sz w:val="24"/>
                <w:szCs w:val="24"/>
                <w:lang w:val="en-US"/>
              </w:rPr>
            </w:pPr>
            <w:r w:rsidRPr="00C66CB2">
              <w:rPr>
                <w:b/>
                <w:sz w:val="24"/>
                <w:szCs w:val="24"/>
                <w:lang w:val="en-US"/>
              </w:rPr>
              <w:t xml:space="preserve">2.2. </w:t>
            </w:r>
            <w:r w:rsidRPr="00C66CB2">
              <w:rPr>
                <w:sz w:val="24"/>
                <w:szCs w:val="24"/>
                <w:lang w:val="en-US"/>
              </w:rPr>
              <w:t xml:space="preserve">State registration number of the issue (additional issue) of securities and the date of its assigning: </w:t>
            </w:r>
            <w:r w:rsidRPr="00C66CB2">
              <w:rPr>
                <w:b/>
                <w:sz w:val="24"/>
                <w:szCs w:val="24"/>
                <w:lang w:val="en-US"/>
              </w:rPr>
              <w:t>4-00063-</w:t>
            </w:r>
            <w:r w:rsidRPr="00C66CB2">
              <w:rPr>
                <w:b/>
                <w:sz w:val="24"/>
                <w:szCs w:val="24"/>
              </w:rPr>
              <w:t>А</w:t>
            </w:r>
            <w:r w:rsidRPr="00C66CB2">
              <w:rPr>
                <w:b/>
                <w:sz w:val="24"/>
                <w:szCs w:val="24"/>
                <w:lang w:val="en-US"/>
              </w:rPr>
              <w:t>-001P-02E dated 26 August 2015</w:t>
            </w:r>
          </w:p>
          <w:p w:rsidR="008F1E4D" w:rsidRPr="00C66CB2" w:rsidRDefault="008F1E4D"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The Issuer’s managerial body that made a decision on payment (declaration) of dividends on the issuer’s shares or on determination (procedure for determination) of the interest (coupon) on the issuer’s bonds:</w:t>
            </w:r>
          </w:p>
          <w:p w:rsidR="008F1E4D" w:rsidRPr="00C66CB2" w:rsidRDefault="008F1E4D" w:rsidP="00C66CB2">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Interest (coupon) on the Listed Bonds shall be determined in accordance with the first part of the Decision on issue of securities and Prospectus approved by the Board of Directors of</w:t>
            </w:r>
            <w:r w:rsidRPr="00C66CB2">
              <w:rPr>
                <w:rStyle w:val="apple-converted-space"/>
                <w:b/>
                <w:bCs/>
                <w:iCs/>
                <w:sz w:val="24"/>
                <w:szCs w:val="24"/>
                <w:shd w:val="clear" w:color="auto" w:fill="FFFFFF"/>
                <w:lang w:val="en-US"/>
              </w:rPr>
              <w:t> Kubanenergo PJSC on 29 July 2015 (minutes of meeting No.217/2015 dated 31 July 2015).</w:t>
            </w:r>
          </w:p>
          <w:p w:rsidR="008F1E4D" w:rsidRPr="00C66CB2" w:rsidRDefault="008F1E4D" w:rsidP="00C66CB2">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 xml:space="preserve">The rate of the 1 (first) – 20 (twentieth) coupon period were determined by the Order of the Sole executive body – Director General of </w:t>
            </w:r>
            <w:r w:rsidRPr="00C66CB2">
              <w:rPr>
                <w:rStyle w:val="apple-converted-space"/>
                <w:b/>
                <w:bCs/>
                <w:iCs/>
                <w:sz w:val="24"/>
                <w:szCs w:val="24"/>
                <w:shd w:val="clear" w:color="auto" w:fill="FFFFFF"/>
                <w:lang w:val="en-US"/>
              </w:rPr>
              <w:t>Kubanenergo PJSC (Order No. 1043 dated 2 December 2015).</w:t>
            </w:r>
          </w:p>
          <w:p w:rsidR="004139D2" w:rsidRPr="00C66CB2" w:rsidRDefault="004139D2" w:rsidP="00C66CB2">
            <w:pPr>
              <w:adjustRightInd w:val="0"/>
              <w:jc w:val="both"/>
              <w:rPr>
                <w:rStyle w:val="apple-converted-space"/>
                <w:b/>
                <w:bCs/>
                <w:iCs/>
                <w:sz w:val="24"/>
                <w:szCs w:val="24"/>
                <w:shd w:val="clear" w:color="auto" w:fill="FFFFFF"/>
                <w:lang w:val="en-US"/>
              </w:rPr>
            </w:pPr>
            <w:r w:rsidRPr="00C66CB2">
              <w:rPr>
                <w:rStyle w:val="apple-converted-space"/>
                <w:b/>
                <w:bCs/>
                <w:iCs/>
                <w:sz w:val="24"/>
                <w:szCs w:val="24"/>
                <w:shd w:val="clear" w:color="auto" w:fill="FFFFFF"/>
                <w:lang w:val="en-US"/>
              </w:rPr>
              <w:t>Resolution:</w:t>
            </w:r>
          </w:p>
          <w:p w:rsidR="004139D2" w:rsidRPr="00C66CB2" w:rsidRDefault="004139D2" w:rsidP="00C66CB2">
            <w:pPr>
              <w:shd w:val="clear" w:color="auto" w:fill="FFFFFF"/>
              <w:autoSpaceDE/>
              <w:autoSpaceDN/>
              <w:jc w:val="both"/>
              <w:rPr>
                <w:sz w:val="24"/>
                <w:szCs w:val="24"/>
                <w:lang w:val="en-US"/>
              </w:rPr>
            </w:pPr>
            <w:r w:rsidRPr="00C66CB2">
              <w:rPr>
                <w:b/>
                <w:bCs/>
                <w:iCs/>
                <w:sz w:val="24"/>
                <w:szCs w:val="24"/>
                <w:lang w:val="en-US"/>
              </w:rPr>
              <w:t xml:space="preserve">1.To set the rate of the 1 (first) coupon period for the Bonds of </w:t>
            </w:r>
            <w:r w:rsidRPr="00C66CB2">
              <w:rPr>
                <w:rStyle w:val="apple-converted-space"/>
                <w:b/>
                <w:bCs/>
                <w:iCs/>
                <w:sz w:val="24"/>
                <w:szCs w:val="24"/>
                <w:shd w:val="clear" w:color="auto" w:fill="FFFFFF"/>
                <w:lang w:val="en-US"/>
              </w:rPr>
              <w:t>Kubanenergo PJSC</w:t>
            </w:r>
            <w:r w:rsidRPr="00C66CB2">
              <w:rPr>
                <w:b/>
                <w:bCs/>
                <w:iCs/>
                <w:sz w:val="24"/>
                <w:szCs w:val="24"/>
                <w:lang w:val="en-US"/>
              </w:rPr>
              <w:t xml:space="preserve">  of 10.44% (ten point forty four) percent per annum that corresponds to the amount of the coupon profit for the first coupon period in the amount of 52.06 rubles (fifty two) rubles 06 kopecks per one Bond.</w:t>
            </w:r>
          </w:p>
          <w:p w:rsidR="008F1E4D" w:rsidRPr="00C66CB2" w:rsidRDefault="004139D2" w:rsidP="00C66CB2">
            <w:pPr>
              <w:adjustRightInd w:val="0"/>
              <w:jc w:val="both"/>
              <w:rPr>
                <w:sz w:val="24"/>
                <w:szCs w:val="24"/>
                <w:lang w:val="en-US"/>
              </w:rPr>
            </w:pPr>
            <w:r w:rsidRPr="00C66CB2">
              <w:rPr>
                <w:b/>
                <w:bCs/>
                <w:iCs/>
                <w:sz w:val="24"/>
                <w:szCs w:val="24"/>
                <w:lang w:val="en-US"/>
              </w:rPr>
              <w:t xml:space="preserve">2. To set the rate for the 2 (second) – 20 (twentieth) coupon periods for the Bonds equal to the rate of the 1 (first) coupon period for the </w:t>
            </w:r>
            <w:r w:rsidR="00FC2CD7" w:rsidRPr="00C66CB2">
              <w:rPr>
                <w:b/>
                <w:bCs/>
                <w:iCs/>
                <w:sz w:val="24"/>
                <w:szCs w:val="24"/>
                <w:lang w:val="en-US"/>
              </w:rPr>
              <w:t>Bonds.</w:t>
            </w:r>
          </w:p>
          <w:p w:rsidR="008F1E4D" w:rsidRPr="00C66CB2" w:rsidRDefault="00FC2CD7" w:rsidP="00C66CB2">
            <w:pPr>
              <w:adjustRightInd w:val="0"/>
              <w:jc w:val="both"/>
              <w:rPr>
                <w:sz w:val="24"/>
                <w:szCs w:val="24"/>
                <w:shd w:val="clear" w:color="auto" w:fill="FFFFFF"/>
                <w:lang w:val="en-US"/>
              </w:rPr>
            </w:pPr>
            <w:r w:rsidRPr="00C66CB2">
              <w:rPr>
                <w:sz w:val="24"/>
                <w:szCs w:val="24"/>
                <w:lang w:val="en-US"/>
              </w:rPr>
              <w:t xml:space="preserve">2.4 </w:t>
            </w:r>
            <w:r w:rsidRPr="00C66CB2">
              <w:rPr>
                <w:sz w:val="24"/>
                <w:szCs w:val="24"/>
                <w:shd w:val="clear" w:color="auto" w:fill="FFFFFF"/>
                <w:lang w:val="en-US"/>
              </w:rPr>
              <w:t xml:space="preserve">The date of adoption of a decision on payment (declaration) of dividends on the issuer’s shares or on determination (procedure for determination) of the interest (coupon) on the issuer’s bonds: </w:t>
            </w:r>
            <w:r w:rsidRPr="00C66CB2">
              <w:rPr>
                <w:b/>
                <w:sz w:val="24"/>
                <w:szCs w:val="24"/>
                <w:shd w:val="clear" w:color="auto" w:fill="FFFFFF"/>
                <w:lang w:val="en-US"/>
              </w:rPr>
              <w:t>2 December 2015</w:t>
            </w:r>
          </w:p>
          <w:p w:rsidR="00FC2CD7" w:rsidRPr="00C66CB2" w:rsidRDefault="00FC2CD7" w:rsidP="00C66CB2">
            <w:pPr>
              <w:adjustRightInd w:val="0"/>
              <w:jc w:val="both"/>
              <w:rPr>
                <w:rStyle w:val="apple-converted-space"/>
                <w:b/>
                <w:bCs/>
                <w:iCs/>
                <w:sz w:val="24"/>
                <w:szCs w:val="24"/>
                <w:shd w:val="clear" w:color="auto" w:fill="FFFFFF"/>
                <w:lang w:val="en-US"/>
              </w:rPr>
            </w:pPr>
            <w:r w:rsidRPr="00C66CB2">
              <w:rPr>
                <w:sz w:val="24"/>
                <w:szCs w:val="24"/>
                <w:shd w:val="clear" w:color="auto" w:fill="FFFFFF"/>
                <w:lang w:val="en-US"/>
              </w:rPr>
              <w:t>2.5 Date of making and number of minutes of the meeting of the issuer’s authorized managerial body, at which a decision on payment (declaration) of dividends on the issuer’s shares or determination(procedure for determination) of the interest (coupon) on the issuer’s bonds if such a decision is adopted by the issuer’s collective managerial body:</w:t>
            </w:r>
            <w:r w:rsidRPr="00C66CB2">
              <w:rPr>
                <w:rStyle w:val="apple-converted-space"/>
                <w:b/>
                <w:bCs/>
                <w:iCs/>
                <w:sz w:val="24"/>
                <w:szCs w:val="24"/>
                <w:shd w:val="clear" w:color="auto" w:fill="FFFFFF"/>
                <w:lang w:val="en-US"/>
              </w:rPr>
              <w:t xml:space="preserve"> Order No. 1043 dated 2 December 2015</w:t>
            </w:r>
          </w:p>
          <w:p w:rsidR="00FC2CD7" w:rsidRPr="00C66CB2" w:rsidRDefault="00FC2CD7" w:rsidP="00C66CB2">
            <w:pPr>
              <w:adjustRightInd w:val="0"/>
              <w:jc w:val="both"/>
              <w:rPr>
                <w:sz w:val="24"/>
                <w:szCs w:val="24"/>
                <w:lang w:val="en-US"/>
              </w:rPr>
            </w:pPr>
            <w:r w:rsidRPr="00C66CB2">
              <w:rPr>
                <w:rStyle w:val="apple-converted-space"/>
                <w:bCs/>
                <w:iCs/>
                <w:sz w:val="24"/>
                <w:szCs w:val="24"/>
                <w:shd w:val="clear" w:color="auto" w:fill="FFFFFF"/>
                <w:lang w:val="en-US"/>
              </w:rPr>
              <w:t xml:space="preserve">2.6. </w:t>
            </w:r>
            <w:r w:rsidRPr="00C66CB2">
              <w:rPr>
                <w:sz w:val="24"/>
                <w:szCs w:val="24"/>
                <w:lang w:val="en-US"/>
              </w:rPr>
              <w:t>Reporting (or coupon) period (year, quarter or the coupon period start and end dates) for which the revenue on the issuer’s securities are paid out:</w:t>
            </w:r>
          </w:p>
          <w:tbl>
            <w:tblPr>
              <w:tblW w:w="5700" w:type="dxa"/>
              <w:tblLook w:val="04A0" w:firstRow="1" w:lastRow="0" w:firstColumn="1" w:lastColumn="0" w:noHBand="0" w:noVBand="1"/>
            </w:tblPr>
            <w:tblGrid>
              <w:gridCol w:w="512"/>
              <w:gridCol w:w="1784"/>
              <w:gridCol w:w="794"/>
              <w:gridCol w:w="1125"/>
              <w:gridCol w:w="360"/>
              <w:gridCol w:w="1125"/>
            </w:tblGrid>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1st</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04.12.2015</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03.06.2016</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2nd</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03.06.2016</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02.12.2016</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3rd</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02.12.2016</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02.06.2017</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lastRenderedPageBreak/>
                    <w:t>4th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02.06.2017</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01.12.2017</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5th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01.12.2017</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01.06.2018</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6th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01.06.2018</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30.11.2018</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7th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30.11.2018</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31.05.2019</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8th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31.05.2019</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29.11.2019</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9th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29.11.2019</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29.05.2020</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10th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29.05.2020</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27.11.2020</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11th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27.11.2020</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28.05.2021</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12th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28.05.2021</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26.11.2021</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13th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26.11.2021</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27.05.2022</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14th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27.05.2022</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25.11.2022</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15th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25.11.2022</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26.05.2023</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16th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26.05.2023</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24.11.2023</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17th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24.11.2023</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24.05.2024</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18th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24.05.2024</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22.11.2024</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19th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22.11.2024</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23.05.2025</w:t>
                  </w:r>
                </w:p>
              </w:tc>
            </w:tr>
            <w:tr w:rsidR="004A0B7B" w:rsidRPr="00C66CB2" w:rsidTr="004A0B7B">
              <w:trPr>
                <w:trHeight w:val="288"/>
              </w:trPr>
              <w:tc>
                <w:tcPr>
                  <w:tcW w:w="510"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20th</w:t>
                  </w:r>
                </w:p>
              </w:tc>
              <w:tc>
                <w:tcPr>
                  <w:tcW w:w="1782"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coupon</w:t>
                  </w:r>
                </w:p>
              </w:tc>
              <w:tc>
                <w:tcPr>
                  <w:tcW w:w="793" w:type="dxa"/>
                  <w:noWrap/>
                  <w:vAlign w:val="bottom"/>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from</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23.05.2025</w:t>
                  </w:r>
                </w:p>
              </w:tc>
              <w:tc>
                <w:tcPr>
                  <w:tcW w:w="360" w:type="dxa"/>
                  <w:vAlign w:val="center"/>
                  <w:hideMark/>
                </w:tcPr>
                <w:p w:rsidR="004A0B7B" w:rsidRPr="00C66CB2" w:rsidRDefault="004A0B7B" w:rsidP="00C66CB2">
                  <w:pPr>
                    <w:ind w:left="-124" w:right="-108"/>
                    <w:jc w:val="center"/>
                    <w:rPr>
                      <w:rFonts w:eastAsia="Batang"/>
                      <w:b/>
                      <w:bCs/>
                      <w:iCs/>
                      <w:color w:val="000000"/>
                      <w:sz w:val="24"/>
                      <w:szCs w:val="24"/>
                      <w:lang w:val="en-US" w:eastAsia="ko-KR"/>
                    </w:rPr>
                  </w:pPr>
                  <w:r w:rsidRPr="00C66CB2">
                    <w:rPr>
                      <w:b/>
                      <w:bCs/>
                      <w:iCs/>
                      <w:color w:val="000000"/>
                      <w:sz w:val="24"/>
                      <w:szCs w:val="24"/>
                      <w:lang w:val="en-US"/>
                    </w:rPr>
                    <w:t>till</w:t>
                  </w:r>
                </w:p>
              </w:tc>
              <w:tc>
                <w:tcPr>
                  <w:tcW w:w="1124" w:type="dxa"/>
                  <w:vAlign w:val="center"/>
                  <w:hideMark/>
                </w:tcPr>
                <w:p w:rsidR="004A0B7B" w:rsidRPr="00C66CB2" w:rsidRDefault="004A0B7B"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21.11.2025</w:t>
                  </w:r>
                </w:p>
              </w:tc>
            </w:tr>
          </w:tbl>
          <w:p w:rsidR="004A0B7B" w:rsidRPr="00C66CB2" w:rsidRDefault="004A0B7B"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2.7.Total revenue accrued (payable) on the issuer’s securities and the amount of the revenue accrued (payable) per each security of the issuer: (total amount of dividends accrued on the issued shares of certain category (type) and amount of dividends accrued on one share of a certain category (type); total amount of interest and (or) any other revenue payable on the issuer’s bonds of certain issue (series) and the amount of interest and (or) any other revenue payable on each bond of the issuer of certain issue (series) per relevant reporting (coupon) period:</w:t>
            </w:r>
          </w:p>
          <w:p w:rsidR="004A0B7B" w:rsidRPr="00C66CB2" w:rsidRDefault="004A0B7B" w:rsidP="00C66CB2">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Total amount of interest and (or) other income payable per issuer’s bonds:</w:t>
            </w:r>
          </w:p>
          <w:tbl>
            <w:tblPr>
              <w:tblW w:w="9885" w:type="dxa"/>
              <w:tblLook w:val="04A0" w:firstRow="1" w:lastRow="0" w:firstColumn="1" w:lastColumn="0" w:noHBand="0" w:noVBand="1"/>
            </w:tblPr>
            <w:tblGrid>
              <w:gridCol w:w="567"/>
              <w:gridCol w:w="1701"/>
              <w:gridCol w:w="1418"/>
              <w:gridCol w:w="4923"/>
              <w:gridCol w:w="284"/>
              <w:gridCol w:w="992"/>
            </w:tblGrid>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bookmarkStart w:id="0" w:name="_GoBack" w:colFirst="2" w:colLast="2"/>
                  <w:r w:rsidRPr="00C66CB2">
                    <w:rPr>
                      <w:b/>
                      <w:bCs/>
                      <w:iCs/>
                      <w:color w:val="000000"/>
                      <w:sz w:val="24"/>
                      <w:szCs w:val="24"/>
                      <w:lang w:val="en-US" w:eastAsia="en-US"/>
                    </w:rPr>
                    <w:t>1st</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76"/>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b/>
                      <w:bCs/>
                      <w:iCs/>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2nd</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3rd</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4th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5th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6th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7th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8th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9th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10th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11th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12th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13th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14th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 xml:space="preserve">(One hundred eighty seven million four </w:t>
                  </w:r>
                  <w:r w:rsidRPr="00C66CB2">
                    <w:rPr>
                      <w:b/>
                      <w:color w:val="0000FF"/>
                      <w:sz w:val="24"/>
                      <w:szCs w:val="24"/>
                      <w:lang w:val="en-US"/>
                    </w:rPr>
                    <w:lastRenderedPageBreak/>
                    <w:t>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lastRenderedPageBreak/>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lastRenderedPageBreak/>
                    <w:t>15th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16th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17th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18th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19th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eastAsia="ko-KR"/>
                    </w:rPr>
                  </w:pPr>
                  <w:r w:rsidRPr="00C66CB2">
                    <w:rPr>
                      <w:b/>
                      <w:bCs/>
                      <w:iCs/>
                      <w:color w:val="0000FF"/>
                      <w:sz w:val="24"/>
                      <w:szCs w:val="24"/>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eastAsia="ko-KR"/>
                    </w:rPr>
                  </w:pPr>
                  <w:r w:rsidRPr="00C66CB2">
                    <w:rPr>
                      <w:b/>
                      <w:color w:val="0000FF"/>
                      <w:sz w:val="24"/>
                      <w:szCs w:val="24"/>
                    </w:rPr>
                    <w:t>kopecks</w:t>
                  </w:r>
                </w:p>
              </w:tc>
            </w:tr>
            <w:tr w:rsidR="008B18B7" w:rsidRPr="00C66CB2" w:rsidTr="008B18B7">
              <w:trPr>
                <w:trHeight w:val="288"/>
              </w:trPr>
              <w:tc>
                <w:tcPr>
                  <w:tcW w:w="567"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20th</w:t>
                  </w:r>
                </w:p>
              </w:tc>
              <w:tc>
                <w:tcPr>
                  <w:tcW w:w="1701"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418" w:type="dxa"/>
                  <w:noWrap/>
                  <w:vAlign w:val="center"/>
                  <w:hideMark/>
                </w:tcPr>
                <w:p w:rsidR="008B18B7" w:rsidRPr="00C66CB2" w:rsidRDefault="008B18B7" w:rsidP="00C66CB2">
                  <w:pPr>
                    <w:ind w:left="-124" w:right="-108"/>
                    <w:jc w:val="center"/>
                    <w:rPr>
                      <w:rFonts w:eastAsia="Batang"/>
                      <w:b/>
                      <w:color w:val="0000FF"/>
                      <w:sz w:val="22"/>
                      <w:szCs w:val="24"/>
                      <w:lang w:eastAsia="ko-KR"/>
                    </w:rPr>
                  </w:pPr>
                  <w:r w:rsidRPr="00C66CB2">
                    <w:rPr>
                      <w:b/>
                      <w:color w:val="0000FF"/>
                      <w:sz w:val="22"/>
                      <w:szCs w:val="24"/>
                    </w:rPr>
                    <w:t>187 416 000.00</w:t>
                  </w:r>
                </w:p>
              </w:tc>
              <w:tc>
                <w:tcPr>
                  <w:tcW w:w="4927" w:type="dxa"/>
                  <w:vAlign w:val="center"/>
                  <w:hideMark/>
                </w:tcPr>
                <w:p w:rsidR="008B18B7" w:rsidRPr="00C66CB2" w:rsidRDefault="008B18B7" w:rsidP="00C66CB2">
                  <w:pPr>
                    <w:ind w:left="-124" w:right="-108"/>
                    <w:rPr>
                      <w:rFonts w:eastAsia="Batang"/>
                      <w:b/>
                      <w:color w:val="0000FF"/>
                      <w:sz w:val="24"/>
                      <w:szCs w:val="24"/>
                      <w:lang w:val="en-US" w:eastAsia="ko-KR"/>
                    </w:rPr>
                  </w:pPr>
                  <w:r w:rsidRPr="00C66CB2">
                    <w:rPr>
                      <w:b/>
                      <w:color w:val="0000FF"/>
                      <w:sz w:val="24"/>
                      <w:szCs w:val="24"/>
                      <w:lang w:val="en-US"/>
                    </w:rPr>
                    <w:t>(One hundred eighty seven million four hundred sixteen thousand) rubles</w:t>
                  </w:r>
                </w:p>
              </w:tc>
              <w:tc>
                <w:tcPr>
                  <w:tcW w:w="284" w:type="dxa"/>
                  <w:vAlign w:val="center"/>
                  <w:hideMark/>
                </w:tcPr>
                <w:p w:rsidR="008B18B7" w:rsidRPr="00C66CB2" w:rsidRDefault="008B18B7" w:rsidP="00C66CB2">
                  <w:pPr>
                    <w:ind w:left="-124" w:right="-108"/>
                    <w:jc w:val="center"/>
                    <w:rPr>
                      <w:rFonts w:eastAsia="Batang"/>
                      <w:color w:val="0000FF"/>
                      <w:sz w:val="24"/>
                      <w:szCs w:val="24"/>
                      <w:lang w:val="en-US" w:eastAsia="ko-KR"/>
                    </w:rPr>
                  </w:pPr>
                  <w:r w:rsidRPr="00C66CB2">
                    <w:rPr>
                      <w:b/>
                      <w:bCs/>
                      <w:iCs/>
                      <w:color w:val="0000FF"/>
                      <w:sz w:val="24"/>
                      <w:szCs w:val="24"/>
                      <w:lang w:val="en-US"/>
                    </w:rPr>
                    <w:t>00</w:t>
                  </w:r>
                </w:p>
              </w:tc>
              <w:tc>
                <w:tcPr>
                  <w:tcW w:w="992" w:type="dxa"/>
                  <w:vAlign w:val="center"/>
                  <w:hideMark/>
                </w:tcPr>
                <w:p w:rsidR="008B18B7" w:rsidRPr="00C66CB2" w:rsidRDefault="008B18B7" w:rsidP="00C66CB2">
                  <w:pPr>
                    <w:ind w:left="-124" w:right="-76"/>
                    <w:jc w:val="center"/>
                    <w:rPr>
                      <w:rFonts w:eastAsia="Batang"/>
                      <w:b/>
                      <w:color w:val="0000FF"/>
                      <w:sz w:val="24"/>
                      <w:szCs w:val="24"/>
                      <w:lang w:val="en-US" w:eastAsia="ko-KR"/>
                    </w:rPr>
                  </w:pPr>
                  <w:r w:rsidRPr="00C66CB2">
                    <w:rPr>
                      <w:b/>
                      <w:color w:val="0000FF"/>
                      <w:sz w:val="24"/>
                      <w:szCs w:val="24"/>
                      <w:lang w:val="en-US"/>
                    </w:rPr>
                    <w:t>kopecks</w:t>
                  </w:r>
                </w:p>
              </w:tc>
            </w:tr>
          </w:tbl>
          <w:bookmarkEnd w:id="0"/>
          <w:p w:rsidR="008B18B7" w:rsidRPr="00C66CB2" w:rsidRDefault="008B18B7" w:rsidP="00C66CB2">
            <w:pPr>
              <w:shd w:val="clear" w:color="auto" w:fill="FFFFFF"/>
              <w:autoSpaceDE/>
              <w:autoSpaceDN/>
              <w:jc w:val="both"/>
              <w:rPr>
                <w:sz w:val="24"/>
                <w:szCs w:val="24"/>
                <w:lang w:val="en-US"/>
              </w:rPr>
            </w:pPr>
            <w:r w:rsidRPr="00C66CB2">
              <w:rPr>
                <w:sz w:val="24"/>
                <w:szCs w:val="24"/>
                <w:lang w:val="en-US"/>
              </w:rPr>
              <w:t xml:space="preserve">Rate of interest and (or) other payable income per one issuer’s bond: </w:t>
            </w:r>
          </w:p>
          <w:tbl>
            <w:tblPr>
              <w:tblW w:w="7740" w:type="dxa"/>
              <w:tblLook w:val="04A0" w:firstRow="1" w:lastRow="0" w:firstColumn="1" w:lastColumn="0" w:noHBand="0" w:noVBand="1"/>
            </w:tblPr>
            <w:tblGrid>
              <w:gridCol w:w="534"/>
              <w:gridCol w:w="1728"/>
              <w:gridCol w:w="1124"/>
              <w:gridCol w:w="3112"/>
              <w:gridCol w:w="360"/>
              <w:gridCol w:w="882"/>
            </w:tblGrid>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1st</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2nd</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3rd</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4th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5th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6th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7th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8th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9th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10th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11th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12th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13th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14th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15th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16th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17th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18th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19th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r w:rsidR="008B18B7" w:rsidRPr="00C66CB2" w:rsidTr="008B18B7">
              <w:trPr>
                <w:trHeight w:val="288"/>
              </w:trPr>
              <w:tc>
                <w:tcPr>
                  <w:tcW w:w="534"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lastRenderedPageBreak/>
                    <w:t>20th</w:t>
                  </w:r>
                </w:p>
              </w:tc>
              <w:tc>
                <w:tcPr>
                  <w:tcW w:w="1728" w:type="dxa"/>
                  <w:noWrap/>
                  <w:vAlign w:val="bottom"/>
                  <w:hideMark/>
                </w:tcPr>
                <w:p w:rsidR="008B18B7" w:rsidRPr="00C66CB2" w:rsidRDefault="008B18B7" w:rsidP="00C66CB2">
                  <w:pPr>
                    <w:ind w:left="-124" w:right="-108"/>
                    <w:jc w:val="center"/>
                    <w:rPr>
                      <w:rFonts w:eastAsia="Batang"/>
                      <w:b/>
                      <w:bCs/>
                      <w:iCs/>
                      <w:color w:val="000000"/>
                      <w:sz w:val="24"/>
                      <w:szCs w:val="24"/>
                      <w:lang w:val="en-US" w:eastAsia="ko-KR"/>
                    </w:rPr>
                  </w:pPr>
                  <w:r w:rsidRPr="00C66CB2">
                    <w:rPr>
                      <w:b/>
                      <w:bCs/>
                      <w:iCs/>
                      <w:color w:val="000000"/>
                      <w:sz w:val="24"/>
                      <w:szCs w:val="24"/>
                      <w:lang w:val="en-US" w:eastAsia="en-US"/>
                    </w:rPr>
                    <w:t>coupon</w:t>
                  </w:r>
                </w:p>
              </w:tc>
              <w:tc>
                <w:tcPr>
                  <w:tcW w:w="1124" w:type="dxa"/>
                  <w:noWrap/>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color w:val="0000FF"/>
                      <w:sz w:val="24"/>
                      <w:szCs w:val="24"/>
                      <w:lang w:val="en-US"/>
                    </w:rPr>
                    <w:t>52.06 rubles</w:t>
                  </w:r>
                </w:p>
              </w:tc>
              <w:tc>
                <w:tcPr>
                  <w:tcW w:w="3119"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(fifty two) rubles</w:t>
                  </w:r>
                </w:p>
              </w:tc>
              <w:tc>
                <w:tcPr>
                  <w:tcW w:w="360" w:type="dxa"/>
                  <w:vAlign w:val="center"/>
                  <w:hideMark/>
                </w:tcPr>
                <w:p w:rsidR="008B18B7" w:rsidRPr="00C66CB2" w:rsidRDefault="008B18B7" w:rsidP="00C66CB2">
                  <w:pPr>
                    <w:ind w:left="-124" w:right="-108"/>
                    <w:jc w:val="center"/>
                    <w:rPr>
                      <w:rFonts w:eastAsia="Batang"/>
                      <w:b/>
                      <w:bCs/>
                      <w:iCs/>
                      <w:color w:val="0000FF"/>
                      <w:sz w:val="24"/>
                      <w:szCs w:val="24"/>
                      <w:lang w:val="en-US" w:eastAsia="ko-KR"/>
                    </w:rPr>
                  </w:pPr>
                  <w:r w:rsidRPr="00C66CB2">
                    <w:rPr>
                      <w:b/>
                      <w:bCs/>
                      <w:iCs/>
                      <w:color w:val="0000FF"/>
                      <w:sz w:val="24"/>
                      <w:szCs w:val="24"/>
                      <w:lang w:val="en-US"/>
                    </w:rPr>
                    <w:t>06</w:t>
                  </w:r>
                </w:p>
              </w:tc>
              <w:tc>
                <w:tcPr>
                  <w:tcW w:w="882" w:type="dxa"/>
                  <w:vAlign w:val="center"/>
                  <w:hideMark/>
                </w:tcPr>
                <w:p w:rsidR="008B18B7" w:rsidRPr="00C66CB2" w:rsidRDefault="008B18B7" w:rsidP="00C66CB2">
                  <w:pPr>
                    <w:ind w:left="-116" w:right="-76"/>
                    <w:jc w:val="center"/>
                    <w:rPr>
                      <w:rFonts w:eastAsia="Batang"/>
                      <w:b/>
                      <w:color w:val="0000FF"/>
                      <w:sz w:val="24"/>
                      <w:szCs w:val="24"/>
                      <w:lang w:val="en-US" w:eastAsia="ko-KR"/>
                    </w:rPr>
                  </w:pPr>
                  <w:r w:rsidRPr="00C66CB2">
                    <w:rPr>
                      <w:b/>
                      <w:color w:val="0000FF"/>
                      <w:sz w:val="24"/>
                      <w:szCs w:val="24"/>
                      <w:lang w:val="en-US"/>
                    </w:rPr>
                    <w:t>kopecks</w:t>
                  </w:r>
                </w:p>
              </w:tc>
            </w:tr>
          </w:tbl>
          <w:p w:rsidR="00935C29" w:rsidRPr="00C66CB2" w:rsidRDefault="00935C29" w:rsidP="00C66CB2">
            <w:pPr>
              <w:shd w:val="clear" w:color="auto" w:fill="FFFFFF"/>
              <w:rPr>
                <w:sz w:val="24"/>
                <w:szCs w:val="24"/>
                <w:lang w:val="en-US"/>
              </w:rPr>
            </w:pPr>
            <w:r w:rsidRPr="00C66CB2">
              <w:rPr>
                <w:sz w:val="24"/>
                <w:szCs w:val="24"/>
                <w:lang w:val="en-US"/>
              </w:rPr>
              <w:t xml:space="preserve">The form of payment of income on the issuer’s securities (cash, other property): </w:t>
            </w:r>
            <w:r w:rsidRPr="00C66CB2">
              <w:rPr>
                <w:b/>
                <w:bCs/>
                <w:iCs/>
                <w:sz w:val="24"/>
                <w:szCs w:val="24"/>
                <w:lang w:val="en-US"/>
              </w:rPr>
              <w:t>by money transfer in the currency of the Russian Federation.</w:t>
            </w:r>
          </w:p>
          <w:p w:rsidR="00935C29" w:rsidRPr="00C66CB2" w:rsidRDefault="00935C29" w:rsidP="00C66CB2">
            <w:pPr>
              <w:shd w:val="clear" w:color="auto" w:fill="FFFFFF"/>
              <w:autoSpaceDE/>
              <w:autoSpaceDN/>
              <w:jc w:val="both"/>
              <w:rPr>
                <w:sz w:val="24"/>
                <w:szCs w:val="24"/>
                <w:shd w:val="clear" w:color="auto" w:fill="FFFFFF"/>
                <w:lang w:val="en-US"/>
              </w:rPr>
            </w:pPr>
            <w:r w:rsidRPr="00C66CB2">
              <w:rPr>
                <w:sz w:val="24"/>
                <w:szCs w:val="24"/>
                <w:lang w:val="en-US"/>
              </w:rPr>
              <w:t xml:space="preserve">2.9 </w:t>
            </w:r>
            <w:r w:rsidRPr="00C66CB2">
              <w:rPr>
                <w:sz w:val="24"/>
                <w:szCs w:val="24"/>
                <w:shd w:val="clear" w:color="auto" w:fill="FFFFFF"/>
                <w:lang w:val="en-US"/>
              </w:rPr>
              <w:t>Date on which the obligation for payment of income on the issuer’s securities (dividends on shares, income (interest, face value, part of face value) on the bonds) is to be fulfilled, and if the obligation for payment of income on securities is to be fulfilled by the issuer within the relevant period, the date of termination of such a period:</w:t>
            </w:r>
          </w:p>
          <w:tbl>
            <w:tblPr>
              <w:tblW w:w="3825" w:type="dxa"/>
              <w:tblLook w:val="04A0" w:firstRow="1" w:lastRow="0" w:firstColumn="1" w:lastColumn="0" w:noHBand="0" w:noVBand="1"/>
            </w:tblPr>
            <w:tblGrid>
              <w:gridCol w:w="709"/>
              <w:gridCol w:w="1843"/>
              <w:gridCol w:w="1273"/>
            </w:tblGrid>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1st</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03.06.2016</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2nd</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02.12.2016</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3rd</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02.06.2017</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4th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01.12.2017</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5th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01.06.2018</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6th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30.11.2018</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7th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31.05.2019</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8th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29.11.2019</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9th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29.05.2020</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10th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27.11.2020</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11th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28.05.2021</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12th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26.11.2021</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13th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27.05.2022</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14th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25.11.2022</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15th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26.05.2023</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16th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24.11.2023</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17th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24.05.2024</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18th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22.11.2024</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19th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23.05.2025</w:t>
                  </w:r>
                </w:p>
              </w:tc>
            </w:tr>
            <w:tr w:rsidR="00935C29" w:rsidRPr="00C66CB2" w:rsidTr="00935C29">
              <w:trPr>
                <w:trHeight w:val="288"/>
              </w:trPr>
              <w:tc>
                <w:tcPr>
                  <w:tcW w:w="709"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20th</w:t>
                  </w:r>
                </w:p>
              </w:tc>
              <w:tc>
                <w:tcPr>
                  <w:tcW w:w="1843" w:type="dxa"/>
                  <w:noWrap/>
                  <w:vAlign w:val="bottom"/>
                  <w:hideMark/>
                </w:tcPr>
                <w:p w:rsidR="00935C29" w:rsidRPr="00C66CB2" w:rsidRDefault="00935C29" w:rsidP="00C66CB2">
                  <w:pPr>
                    <w:ind w:left="-124" w:right="-108"/>
                    <w:jc w:val="center"/>
                    <w:rPr>
                      <w:b/>
                      <w:bCs/>
                      <w:iCs/>
                      <w:color w:val="000000"/>
                      <w:sz w:val="24"/>
                      <w:szCs w:val="24"/>
                      <w:lang w:val="en-US" w:eastAsia="ko-KR"/>
                    </w:rPr>
                  </w:pPr>
                  <w:r w:rsidRPr="00C66CB2">
                    <w:rPr>
                      <w:b/>
                      <w:bCs/>
                      <w:iCs/>
                      <w:color w:val="000000"/>
                      <w:sz w:val="24"/>
                      <w:szCs w:val="24"/>
                      <w:lang w:val="en-US" w:eastAsia="en-US"/>
                    </w:rPr>
                    <w:t>coupon</w:t>
                  </w:r>
                </w:p>
              </w:tc>
              <w:tc>
                <w:tcPr>
                  <w:tcW w:w="1276" w:type="dxa"/>
                  <w:vAlign w:val="center"/>
                  <w:hideMark/>
                </w:tcPr>
                <w:p w:rsidR="00935C29" w:rsidRPr="00C66CB2" w:rsidRDefault="00935C29" w:rsidP="00C66CB2">
                  <w:pPr>
                    <w:ind w:left="-124" w:right="-108"/>
                    <w:jc w:val="center"/>
                    <w:rPr>
                      <w:b/>
                      <w:bCs/>
                      <w:iCs/>
                      <w:color w:val="0000FF"/>
                      <w:sz w:val="24"/>
                      <w:szCs w:val="24"/>
                      <w:lang w:eastAsia="ko-KR"/>
                    </w:rPr>
                  </w:pPr>
                  <w:r w:rsidRPr="00C66CB2">
                    <w:rPr>
                      <w:b/>
                      <w:bCs/>
                      <w:iCs/>
                      <w:color w:val="0000FF"/>
                      <w:sz w:val="24"/>
                      <w:szCs w:val="24"/>
                    </w:rPr>
                    <w:t>21.11.2025</w:t>
                  </w:r>
                </w:p>
              </w:tc>
            </w:tr>
          </w:tbl>
          <w:p w:rsidR="0094562E" w:rsidRPr="00C66CB2" w:rsidRDefault="0094562E" w:rsidP="00C66CB2">
            <w:pPr>
              <w:adjustRightInd w:val="0"/>
              <w:ind w:right="114"/>
              <w:jc w:val="both"/>
              <w:rPr>
                <w:b/>
                <w:sz w:val="24"/>
                <w:szCs w:val="24"/>
                <w:lang w:val="en-US"/>
              </w:rPr>
            </w:pPr>
          </w:p>
        </w:tc>
      </w:tr>
      <w:tr w:rsidR="0094562E" w:rsidRPr="00C66CB2" w:rsidTr="0094562E">
        <w:tc>
          <w:tcPr>
            <w:tcW w:w="10065" w:type="dxa"/>
            <w:gridSpan w:val="2"/>
            <w:tcBorders>
              <w:top w:val="single" w:sz="4" w:space="0" w:color="auto"/>
              <w:left w:val="single" w:sz="4" w:space="0" w:color="auto"/>
              <w:bottom w:val="single" w:sz="4" w:space="0" w:color="auto"/>
              <w:right w:val="single" w:sz="4" w:space="0" w:color="auto"/>
            </w:tcBorders>
            <w:hideMark/>
          </w:tcPr>
          <w:p w:rsidR="0094562E" w:rsidRPr="00C66CB2" w:rsidRDefault="0094562E" w:rsidP="00C66CB2">
            <w:pPr>
              <w:pStyle w:val="a5"/>
              <w:ind w:left="360" w:right="140"/>
              <w:jc w:val="center"/>
              <w:rPr>
                <w:sz w:val="24"/>
                <w:szCs w:val="24"/>
              </w:rPr>
            </w:pPr>
            <w:r w:rsidRPr="00C66CB2">
              <w:rPr>
                <w:sz w:val="24"/>
                <w:szCs w:val="24"/>
                <w:lang w:val="en-US"/>
              </w:rPr>
              <w:lastRenderedPageBreak/>
              <w:t>3. Signature</w:t>
            </w:r>
          </w:p>
        </w:tc>
      </w:tr>
    </w:tbl>
    <w:p w:rsidR="0094562E" w:rsidRPr="00C66CB2" w:rsidRDefault="0094562E" w:rsidP="00C66CB2">
      <w:pPr>
        <w:rPr>
          <w:vanish/>
          <w:sz w:val="24"/>
          <w:szCs w:val="24"/>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94562E" w:rsidRPr="00C66CB2" w:rsidTr="00935C29">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94562E" w:rsidRPr="00C66CB2" w:rsidRDefault="0094562E" w:rsidP="00C66CB2">
            <w:pPr>
              <w:ind w:left="57" w:right="140"/>
              <w:jc w:val="both"/>
              <w:rPr>
                <w:sz w:val="24"/>
                <w:szCs w:val="24"/>
                <w:lang w:val="en-US" w:eastAsia="en-US"/>
              </w:rPr>
            </w:pPr>
            <w:r w:rsidRPr="00C66CB2">
              <w:rPr>
                <w:sz w:val="24"/>
                <w:szCs w:val="24"/>
                <w:lang w:val="en-US" w:eastAsia="en-US"/>
              </w:rPr>
              <w:t>3.1 Deputy director general in charge of corporate management (attorney No. 4D-1602 dated 01.07.2015)</w:t>
            </w:r>
          </w:p>
          <w:p w:rsidR="0094562E" w:rsidRPr="00C66CB2" w:rsidRDefault="0094562E" w:rsidP="00C66CB2">
            <w:pPr>
              <w:ind w:right="140"/>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p w:rsidR="0094562E" w:rsidRPr="00C66CB2" w:rsidRDefault="0094562E" w:rsidP="00C66CB2">
            <w:pPr>
              <w:ind w:right="140"/>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94562E" w:rsidRPr="00C66CB2" w:rsidRDefault="0094562E" w:rsidP="00C66CB2">
            <w:pPr>
              <w:ind w:right="140"/>
              <w:jc w:val="both"/>
              <w:rPr>
                <w:sz w:val="24"/>
                <w:szCs w:val="24"/>
                <w:lang w:val="en-US" w:eastAsia="en-US"/>
              </w:rPr>
            </w:pPr>
            <w:proofErr w:type="spellStart"/>
            <w:r w:rsidRPr="00C66CB2">
              <w:rPr>
                <w:sz w:val="24"/>
                <w:szCs w:val="24"/>
                <w:lang w:val="en-US" w:eastAsia="en-US"/>
              </w:rPr>
              <w:t>Konevets</w:t>
            </w:r>
            <w:proofErr w:type="spellEnd"/>
            <w:r w:rsidRPr="00C66CB2">
              <w:rPr>
                <w:sz w:val="24"/>
                <w:szCs w:val="24"/>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0" w:type="auto"/>
            <w:vMerge/>
            <w:tcBorders>
              <w:top w:val="single" w:sz="4" w:space="0" w:color="auto"/>
              <w:left w:val="single" w:sz="4" w:space="0" w:color="auto"/>
              <w:bottom w:val="nil"/>
              <w:right w:val="nil"/>
            </w:tcBorders>
            <w:vAlign w:val="center"/>
            <w:hideMark/>
          </w:tcPr>
          <w:p w:rsidR="0094562E" w:rsidRPr="00C66CB2" w:rsidRDefault="0094562E" w:rsidP="00C66CB2">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94562E" w:rsidRPr="00C66CB2" w:rsidRDefault="0094562E" w:rsidP="00C66CB2">
            <w:pPr>
              <w:ind w:right="140"/>
              <w:jc w:val="both"/>
              <w:rPr>
                <w:sz w:val="24"/>
                <w:szCs w:val="24"/>
                <w:lang w:val="en-US" w:eastAsia="en-US"/>
              </w:rPr>
            </w:pPr>
            <w:r w:rsidRPr="00C66CB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570" w:type="dxa"/>
            <w:tcBorders>
              <w:top w:val="nil"/>
              <w:left w:val="nil"/>
              <w:bottom w:val="nil"/>
              <w:right w:val="single" w:sz="4" w:space="0" w:color="auto"/>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94562E" w:rsidRPr="00C66CB2" w:rsidRDefault="0094562E" w:rsidP="00C66CB2">
            <w:pPr>
              <w:ind w:right="140"/>
              <w:jc w:val="both"/>
              <w:rPr>
                <w:sz w:val="24"/>
                <w:szCs w:val="24"/>
                <w:lang w:val="en-US" w:eastAsia="en-US"/>
              </w:rPr>
            </w:pPr>
            <w:r w:rsidRPr="00C66CB2">
              <w:rPr>
                <w:sz w:val="24"/>
                <w:szCs w:val="24"/>
                <w:lang w:val="en-US" w:eastAsia="en-US"/>
              </w:rPr>
              <w:t xml:space="preserve">3.2 Date: </w:t>
            </w:r>
            <w:r w:rsidR="00C66CB2" w:rsidRPr="00C66CB2">
              <w:rPr>
                <w:sz w:val="24"/>
                <w:szCs w:val="24"/>
                <w:lang w:val="en-US" w:eastAsia="en-US"/>
              </w:rPr>
              <w:t>03 December</w:t>
            </w:r>
            <w:r w:rsidRPr="00C66CB2">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94562E" w:rsidRPr="00C66CB2" w:rsidRDefault="0094562E" w:rsidP="00C66CB2">
            <w:pPr>
              <w:ind w:right="140"/>
              <w:jc w:val="both"/>
              <w:rPr>
                <w:sz w:val="24"/>
                <w:szCs w:val="24"/>
                <w:lang w:val="en-US" w:eastAsia="en-US"/>
              </w:rPr>
            </w:pPr>
          </w:p>
        </w:tc>
      </w:tr>
      <w:tr w:rsidR="0094562E" w:rsidRPr="00C66CB2" w:rsidTr="00935C29">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94562E" w:rsidRPr="00C66CB2" w:rsidRDefault="0094562E" w:rsidP="00C66CB2">
            <w:pPr>
              <w:ind w:right="140"/>
              <w:jc w:val="both"/>
              <w:rPr>
                <w:sz w:val="24"/>
                <w:szCs w:val="24"/>
                <w:lang w:val="en-US" w:eastAsia="en-US"/>
              </w:rPr>
            </w:pPr>
            <w:r w:rsidRPr="00C66CB2">
              <w:rPr>
                <w:sz w:val="24"/>
                <w:szCs w:val="24"/>
                <w:lang w:val="en-US" w:eastAsia="en-US"/>
              </w:rPr>
              <w:t xml:space="preserve">seal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94562E" w:rsidRPr="00C66CB2" w:rsidRDefault="0094562E" w:rsidP="00C66CB2">
            <w:pPr>
              <w:ind w:right="140"/>
              <w:jc w:val="both"/>
              <w:rPr>
                <w:sz w:val="24"/>
                <w:szCs w:val="24"/>
                <w:lang w:val="en-US" w:eastAsia="en-US"/>
              </w:rPr>
            </w:pPr>
          </w:p>
        </w:tc>
      </w:tr>
    </w:tbl>
    <w:p w:rsidR="0094562E" w:rsidRPr="00C66CB2" w:rsidRDefault="0094562E" w:rsidP="00C66CB2">
      <w:pPr>
        <w:ind w:right="140"/>
        <w:jc w:val="both"/>
        <w:rPr>
          <w:sz w:val="24"/>
          <w:szCs w:val="24"/>
          <w:lang w:val="en-US"/>
        </w:rPr>
      </w:pPr>
    </w:p>
    <w:p w:rsidR="0094562E" w:rsidRPr="00C66CB2" w:rsidRDefault="0094562E" w:rsidP="00C66CB2">
      <w:pPr>
        <w:rPr>
          <w:sz w:val="24"/>
          <w:szCs w:val="24"/>
        </w:rPr>
      </w:pPr>
    </w:p>
    <w:p w:rsidR="004E06C8" w:rsidRPr="00C66CB2" w:rsidRDefault="004E06C8" w:rsidP="00C66CB2">
      <w:pPr>
        <w:rPr>
          <w:sz w:val="24"/>
          <w:szCs w:val="24"/>
        </w:rPr>
      </w:pPr>
    </w:p>
    <w:sectPr w:rsidR="004E06C8" w:rsidRPr="00C66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2E"/>
    <w:rsid w:val="004139D2"/>
    <w:rsid w:val="004A0B7B"/>
    <w:rsid w:val="004B4C4C"/>
    <w:rsid w:val="004B6A59"/>
    <w:rsid w:val="004E06C8"/>
    <w:rsid w:val="008B18B7"/>
    <w:rsid w:val="008F1E4D"/>
    <w:rsid w:val="00935C29"/>
    <w:rsid w:val="0094562E"/>
    <w:rsid w:val="00AE3403"/>
    <w:rsid w:val="00C66CB2"/>
    <w:rsid w:val="00E54457"/>
    <w:rsid w:val="00FC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2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2E"/>
    <w:rPr>
      <w:rFonts w:ascii="Times New Roman" w:hAnsi="Times New Roman" w:cs="Times New Roman" w:hint="default"/>
      <w:color w:val="0000FF"/>
      <w:u w:val="single"/>
      <w14:textFill>
        <w14:solidFill>
          <w14:srgbClr w14:val="000000"/>
        </w14:solidFill>
      </w14:textFill>
    </w:rPr>
  </w:style>
  <w:style w:type="character" w:customStyle="1" w:styleId="a4">
    <w:name w:val="Без интервала Знак"/>
    <w:link w:val="a5"/>
    <w:uiPriority w:val="1"/>
    <w:locked/>
    <w:rsid w:val="0094562E"/>
    <w:rPr>
      <w:rFonts w:ascii="Times New Roman" w:hAnsi="Times New Roman" w:cs="Times New Roman"/>
      <w:sz w:val="20"/>
      <w:szCs w:val="20"/>
    </w:rPr>
  </w:style>
  <w:style w:type="paragraph" w:styleId="a5">
    <w:name w:val="No Spacing"/>
    <w:link w:val="a4"/>
    <w:uiPriority w:val="1"/>
    <w:qFormat/>
    <w:rsid w:val="0094562E"/>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94562E"/>
    <w:pPr>
      <w:autoSpaceDE/>
      <w:autoSpaceDN/>
      <w:ind w:firstLine="709"/>
      <w:jc w:val="both"/>
    </w:pPr>
    <w:rPr>
      <w:sz w:val="24"/>
      <w:szCs w:val="24"/>
      <w:lang w:eastAsia="en-US"/>
    </w:rPr>
  </w:style>
  <w:style w:type="character" w:customStyle="1" w:styleId="apple-converted-space">
    <w:name w:val="apple-converted-space"/>
    <w:rsid w:val="008F1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2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2E"/>
    <w:rPr>
      <w:rFonts w:ascii="Times New Roman" w:hAnsi="Times New Roman" w:cs="Times New Roman" w:hint="default"/>
      <w:color w:val="0000FF"/>
      <w:u w:val="single"/>
      <w14:textFill>
        <w14:solidFill>
          <w14:srgbClr w14:val="000000"/>
        </w14:solidFill>
      </w14:textFill>
    </w:rPr>
  </w:style>
  <w:style w:type="character" w:customStyle="1" w:styleId="a4">
    <w:name w:val="Без интервала Знак"/>
    <w:link w:val="a5"/>
    <w:uiPriority w:val="1"/>
    <w:locked/>
    <w:rsid w:val="0094562E"/>
    <w:rPr>
      <w:rFonts w:ascii="Times New Roman" w:hAnsi="Times New Roman" w:cs="Times New Roman"/>
      <w:sz w:val="20"/>
      <w:szCs w:val="20"/>
    </w:rPr>
  </w:style>
  <w:style w:type="paragraph" w:styleId="a5">
    <w:name w:val="No Spacing"/>
    <w:link w:val="a4"/>
    <w:uiPriority w:val="1"/>
    <w:qFormat/>
    <w:rsid w:val="0094562E"/>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94562E"/>
    <w:pPr>
      <w:autoSpaceDE/>
      <w:autoSpaceDN/>
      <w:ind w:firstLine="709"/>
      <w:jc w:val="both"/>
    </w:pPr>
    <w:rPr>
      <w:sz w:val="24"/>
      <w:szCs w:val="24"/>
      <w:lang w:eastAsia="en-US"/>
    </w:rPr>
  </w:style>
  <w:style w:type="character" w:customStyle="1" w:styleId="apple-converted-space">
    <w:name w:val="apple-converted-space"/>
    <w:rsid w:val="008F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9251">
      <w:bodyDiv w:val="1"/>
      <w:marLeft w:val="0"/>
      <w:marRight w:val="0"/>
      <w:marTop w:val="0"/>
      <w:marBottom w:val="0"/>
      <w:divBdr>
        <w:top w:val="none" w:sz="0" w:space="0" w:color="auto"/>
        <w:left w:val="none" w:sz="0" w:space="0" w:color="auto"/>
        <w:bottom w:val="none" w:sz="0" w:space="0" w:color="auto"/>
        <w:right w:val="none" w:sz="0" w:space="0" w:color="auto"/>
      </w:divBdr>
    </w:div>
    <w:div w:id="726222370">
      <w:bodyDiv w:val="1"/>
      <w:marLeft w:val="0"/>
      <w:marRight w:val="0"/>
      <w:marTop w:val="0"/>
      <w:marBottom w:val="0"/>
      <w:divBdr>
        <w:top w:val="none" w:sz="0" w:space="0" w:color="auto"/>
        <w:left w:val="none" w:sz="0" w:space="0" w:color="auto"/>
        <w:bottom w:val="none" w:sz="0" w:space="0" w:color="auto"/>
        <w:right w:val="none" w:sz="0" w:space="0" w:color="auto"/>
      </w:divBdr>
    </w:div>
    <w:div w:id="754744670">
      <w:bodyDiv w:val="1"/>
      <w:marLeft w:val="0"/>
      <w:marRight w:val="0"/>
      <w:marTop w:val="0"/>
      <w:marBottom w:val="0"/>
      <w:divBdr>
        <w:top w:val="none" w:sz="0" w:space="0" w:color="auto"/>
        <w:left w:val="none" w:sz="0" w:space="0" w:color="auto"/>
        <w:bottom w:val="none" w:sz="0" w:space="0" w:color="auto"/>
        <w:right w:val="none" w:sz="0" w:space="0" w:color="auto"/>
      </w:divBdr>
    </w:div>
    <w:div w:id="1044524851">
      <w:bodyDiv w:val="1"/>
      <w:marLeft w:val="0"/>
      <w:marRight w:val="0"/>
      <w:marTop w:val="0"/>
      <w:marBottom w:val="0"/>
      <w:divBdr>
        <w:top w:val="none" w:sz="0" w:space="0" w:color="auto"/>
        <w:left w:val="none" w:sz="0" w:space="0" w:color="auto"/>
        <w:bottom w:val="none" w:sz="0" w:space="0" w:color="auto"/>
        <w:right w:val="none" w:sz="0" w:space="0" w:color="auto"/>
      </w:divBdr>
    </w:div>
    <w:div w:id="15528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1416</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6</cp:revision>
  <dcterms:created xsi:type="dcterms:W3CDTF">2015-12-05T20:11:00Z</dcterms:created>
  <dcterms:modified xsi:type="dcterms:W3CDTF">2015-12-05T21:27:00Z</dcterms:modified>
</cp:coreProperties>
</file>